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03308" w14:textId="436DFEC1" w:rsidR="00463675" w:rsidRPr="00B310F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</w:t>
      </w:r>
      <w:bookmarkStart w:id="0" w:name="_GoBack"/>
      <w:bookmarkEnd w:id="0"/>
      <w:r w:rsidR="00E15A52" w:rsidRPr="00B310FC">
        <w:rPr>
          <w:rFonts w:ascii="Arial" w:hAnsi="Arial" w:cs="Arial"/>
          <w:b/>
          <w:bCs/>
          <w:sz w:val="24"/>
          <w:szCs w:val="24"/>
        </w:rPr>
        <w:t>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02948" w:rsidRPr="00B310FC">
        <w:rPr>
          <w:rFonts w:ascii="Arial" w:hAnsi="Arial" w:cs="Arial"/>
          <w:b/>
          <w:bCs/>
          <w:sz w:val="24"/>
          <w:szCs w:val="24"/>
        </w:rPr>
        <w:t>1</w:t>
      </w:r>
      <w:r w:rsidR="00D25F65">
        <w:rPr>
          <w:rFonts w:ascii="Arial" w:hAnsi="Arial" w:cs="Arial"/>
          <w:b/>
          <w:bCs/>
          <w:sz w:val="24"/>
          <w:szCs w:val="24"/>
        </w:rPr>
        <w:t>10</w:t>
      </w:r>
      <w:r w:rsidR="00A72E29">
        <w:rPr>
          <w:rFonts w:ascii="Arial" w:hAnsi="Arial" w:cs="Arial"/>
          <w:b/>
          <w:bCs/>
          <w:sz w:val="24"/>
          <w:szCs w:val="24"/>
        </w:rPr>
        <w:t>bis-e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A8195A">
        <w:rPr>
          <w:rFonts w:ascii="Arial" w:hAnsi="Arial" w:cs="Arial"/>
          <w:b/>
          <w:bCs/>
          <w:sz w:val="24"/>
          <w:szCs w:val="24"/>
        </w:rPr>
        <w:t>R1-</w:t>
      </w:r>
      <w:r w:rsidR="00D25F65" w:rsidRPr="00A8195A">
        <w:rPr>
          <w:rFonts w:ascii="Arial" w:hAnsi="Arial" w:cs="Arial"/>
          <w:b/>
          <w:bCs/>
          <w:sz w:val="24"/>
          <w:szCs w:val="24"/>
        </w:rPr>
        <w:t>22</w:t>
      </w:r>
      <w:r w:rsidR="00A8195A" w:rsidRPr="00A8195A">
        <w:rPr>
          <w:rFonts w:ascii="Arial" w:hAnsi="Arial" w:cs="Arial"/>
          <w:b/>
          <w:bCs/>
          <w:sz w:val="24"/>
          <w:szCs w:val="24"/>
        </w:rPr>
        <w:t>09687</w:t>
      </w:r>
    </w:p>
    <w:p w14:paraId="4C427FD0" w14:textId="70BF1D27" w:rsidR="00463675" w:rsidRPr="00987F5E" w:rsidRDefault="00A72E29" w:rsidP="00961C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7F58E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7F58E8" w:rsidRPr="007F58E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10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25F65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October 19</w:t>
      </w:r>
      <w:r w:rsidR="007F58E8" w:rsidRPr="00D25F6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F58E8" w:rsidRPr="007F58E8">
        <w:rPr>
          <w:rFonts w:ascii="Arial" w:hAnsi="Arial" w:cs="Arial"/>
          <w:b/>
          <w:bCs/>
          <w:sz w:val="24"/>
          <w:szCs w:val="24"/>
        </w:rPr>
        <w:t>, 202</w:t>
      </w:r>
      <w:r w:rsidR="00D25F65">
        <w:rPr>
          <w:rFonts w:ascii="Arial" w:hAnsi="Arial" w:cs="Arial"/>
          <w:b/>
          <w:bCs/>
          <w:sz w:val="24"/>
          <w:szCs w:val="24"/>
        </w:rPr>
        <w:t>2</w:t>
      </w:r>
    </w:p>
    <w:p w14:paraId="2E2E3A76" w14:textId="3FF0CBF5" w:rsidR="00463675" w:rsidRPr="00987F5E" w:rsidRDefault="00463675" w:rsidP="000F4E43">
      <w:pPr>
        <w:pStyle w:val="Title"/>
      </w:pPr>
      <w:r w:rsidRPr="00B310FC">
        <w:t>Title:</w:t>
      </w:r>
      <w:r w:rsidRPr="00B310FC">
        <w:tab/>
      </w:r>
      <w:r w:rsidR="008049BF" w:rsidRPr="00B310FC">
        <w:t xml:space="preserve">Draft reply LS </w:t>
      </w:r>
      <w:r w:rsidR="00220703" w:rsidRPr="00220703">
        <w:rPr>
          <w:sz w:val="22"/>
          <w:szCs w:val="22"/>
        </w:rPr>
        <w:t xml:space="preserve">on </w:t>
      </w:r>
      <w:r w:rsidR="00A72E29" w:rsidRPr="00A72E29">
        <w:rPr>
          <w:sz w:val="22"/>
          <w:szCs w:val="22"/>
        </w:rPr>
        <w:t>active TCI state list for UL TCI</w:t>
      </w:r>
    </w:p>
    <w:p w14:paraId="3E8589EC" w14:textId="6A6069C0" w:rsidR="00463675" w:rsidRPr="00B310FC" w:rsidRDefault="00463675" w:rsidP="000F4E43">
      <w:pPr>
        <w:pStyle w:val="Title"/>
      </w:pPr>
      <w:r w:rsidRPr="00B310FC">
        <w:t>Response to:</w:t>
      </w:r>
      <w:r w:rsidRPr="00B310FC">
        <w:tab/>
      </w:r>
      <w:r w:rsidR="00220703" w:rsidRPr="00220703">
        <w:t>R1-220</w:t>
      </w:r>
      <w:r w:rsidR="00A72E29">
        <w:t>8354 (R4-2214972</w:t>
      </w:r>
      <w:r w:rsidR="00220703" w:rsidRPr="00220703">
        <w:t>)</w:t>
      </w:r>
    </w:p>
    <w:p w14:paraId="24090066" w14:textId="123FFCA8" w:rsidR="00463675" w:rsidRPr="00B310FC" w:rsidRDefault="00463675" w:rsidP="000F4E43">
      <w:pPr>
        <w:pStyle w:val="Title"/>
      </w:pPr>
      <w:r w:rsidRPr="00B310FC">
        <w:t>Release:</w:t>
      </w:r>
      <w:r w:rsidRPr="00B310FC">
        <w:tab/>
      </w:r>
      <w:r w:rsidR="00916CC0" w:rsidRPr="00B310FC">
        <w:t>Rel-1</w:t>
      </w:r>
      <w:r w:rsidR="00FD6811">
        <w:t>7</w:t>
      </w:r>
    </w:p>
    <w:p w14:paraId="0860FE7B" w14:textId="196C49F7" w:rsidR="00463675" w:rsidRPr="00B310FC" w:rsidRDefault="00463675" w:rsidP="000F4E43">
      <w:pPr>
        <w:pStyle w:val="Title"/>
      </w:pPr>
      <w:r w:rsidRPr="00B310FC">
        <w:t>Work Item:</w:t>
      </w:r>
      <w:r w:rsidRPr="00B310FC">
        <w:tab/>
      </w:r>
      <w:r w:rsidR="00A72E29" w:rsidRPr="00A72E29">
        <w:rPr>
          <w:bCs w:val="0"/>
        </w:rPr>
        <w:t>NR_feMIMO-Core</w:t>
      </w:r>
    </w:p>
    <w:p w14:paraId="0C0F7BB8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909FCD0" w14:textId="7BCDC3B3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916CC0" w:rsidRPr="00B310FC">
        <w:rPr>
          <w:b w:val="0"/>
        </w:rPr>
        <w:t>RAN</w:t>
      </w:r>
      <w:r w:rsidR="00A72E29">
        <w:rPr>
          <w:b w:val="0"/>
        </w:rPr>
        <w:t xml:space="preserve"> WG</w:t>
      </w:r>
      <w:r w:rsidR="00916CC0" w:rsidRPr="00B310FC">
        <w:rPr>
          <w:b w:val="0"/>
        </w:rPr>
        <w:t>1 (Samsung)</w:t>
      </w:r>
    </w:p>
    <w:p w14:paraId="1F348F88" w14:textId="1E4A90A8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F0BDF" w:rsidRPr="00B310FC">
        <w:rPr>
          <w:b w:val="0"/>
        </w:rPr>
        <w:t>RAN</w:t>
      </w:r>
      <w:r w:rsidR="00A72E29">
        <w:rPr>
          <w:b w:val="0"/>
        </w:rPr>
        <w:t xml:space="preserve"> WG4</w:t>
      </w:r>
    </w:p>
    <w:p w14:paraId="3E731153" w14:textId="3B824DDF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  <w:r w:rsidR="00A72E29" w:rsidRPr="00A72E29">
        <w:rPr>
          <w:b w:val="0"/>
        </w:rPr>
        <w:t>RAN WG2</w:t>
      </w:r>
    </w:p>
    <w:p w14:paraId="5F6C6A7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3DB58B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236A6C91" w14:textId="3E4BD584" w:rsidR="00463675" w:rsidRPr="00B310FC" w:rsidRDefault="00463675" w:rsidP="002D3DEC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="00854BC9">
        <w:rPr>
          <w:bCs/>
        </w:rPr>
        <w:t>Emad Farag</w:t>
      </w:r>
      <w:r w:rsidRPr="00B310FC">
        <w:rPr>
          <w:bCs/>
        </w:rPr>
        <w:tab/>
      </w:r>
    </w:p>
    <w:p w14:paraId="44D3ACB3" w14:textId="76F065F2"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  <w:r w:rsidR="00854BC9">
        <w:rPr>
          <w:bCs/>
        </w:rPr>
        <w:t>e.farag@samsung.com</w:t>
      </w:r>
    </w:p>
    <w:p w14:paraId="07952772" w14:textId="77777777" w:rsidR="00463675" w:rsidRPr="00B310FC" w:rsidRDefault="00463675" w:rsidP="000F4E43">
      <w:pPr>
        <w:pStyle w:val="Title"/>
      </w:pPr>
      <w:r w:rsidRPr="00B310FC">
        <w:t>Attachments:</w:t>
      </w:r>
      <w:r w:rsidRPr="00B310FC">
        <w:tab/>
      </w:r>
    </w:p>
    <w:p w14:paraId="001700C8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5AD42" w14:textId="77777777" w:rsidR="00463675" w:rsidRPr="00B310FC" w:rsidRDefault="00463675">
      <w:pPr>
        <w:rPr>
          <w:rFonts w:ascii="Arial" w:hAnsi="Arial" w:cs="Arial"/>
        </w:rPr>
      </w:pPr>
    </w:p>
    <w:p w14:paraId="5C548415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072B60B7" w14:textId="7FAA4973" w:rsidR="00EF5A78" w:rsidRDefault="001D630D" w:rsidP="001D630D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 xml:space="preserve">RAN1 would like </w:t>
      </w:r>
      <w:r w:rsidR="00EF5A78">
        <w:rPr>
          <w:rFonts w:ascii="Arial" w:eastAsia="Malgun Gothic" w:hAnsi="Arial" w:cs="Arial"/>
          <w:lang w:eastAsia="ko-KR"/>
        </w:rPr>
        <w:t>thank RAN</w:t>
      </w:r>
      <w:r w:rsidR="00A72E29">
        <w:rPr>
          <w:rFonts w:ascii="Arial" w:eastAsia="Malgun Gothic" w:hAnsi="Arial" w:cs="Arial"/>
          <w:lang w:eastAsia="ko-KR"/>
        </w:rPr>
        <w:t xml:space="preserve">4 </w:t>
      </w:r>
      <w:r w:rsidR="00EF5A78">
        <w:rPr>
          <w:rFonts w:ascii="Arial" w:eastAsia="Malgun Gothic" w:hAnsi="Arial" w:cs="Arial"/>
          <w:lang w:eastAsia="ko-KR"/>
        </w:rPr>
        <w:t xml:space="preserve">on their LS </w:t>
      </w:r>
      <w:r w:rsidR="00EF5A78" w:rsidRPr="00EF5A78">
        <w:rPr>
          <w:rFonts w:ascii="Arial" w:eastAsia="Malgun Gothic" w:hAnsi="Arial" w:cs="Arial"/>
          <w:lang w:eastAsia="ko-KR"/>
        </w:rPr>
        <w:t>R1-220</w:t>
      </w:r>
      <w:r w:rsidR="00A72E29">
        <w:rPr>
          <w:rFonts w:ascii="Arial" w:eastAsia="Malgun Gothic" w:hAnsi="Arial" w:cs="Arial"/>
          <w:lang w:eastAsia="ko-KR"/>
        </w:rPr>
        <w:t>8354 (R4-2214972</w:t>
      </w:r>
      <w:r w:rsidR="00EF5A78" w:rsidRPr="00EF5A78">
        <w:rPr>
          <w:rFonts w:ascii="Arial" w:eastAsia="Malgun Gothic" w:hAnsi="Arial" w:cs="Arial"/>
          <w:lang w:eastAsia="ko-KR"/>
        </w:rPr>
        <w:t>)</w:t>
      </w:r>
      <w:r w:rsidR="00A72E29">
        <w:rPr>
          <w:rFonts w:ascii="Arial" w:eastAsia="Malgun Gothic" w:hAnsi="Arial" w:cs="Arial"/>
          <w:lang w:eastAsia="ko-KR"/>
        </w:rPr>
        <w:t xml:space="preserve"> on “</w:t>
      </w:r>
      <w:r w:rsidR="00A72E29" w:rsidRPr="00A72E29">
        <w:rPr>
          <w:rFonts w:ascii="Arial" w:eastAsia="Malgun Gothic" w:hAnsi="Arial" w:cs="Arial"/>
          <w:lang w:eastAsia="ko-KR"/>
        </w:rPr>
        <w:t>active TCI state list for UL TCI</w:t>
      </w:r>
      <w:r w:rsidR="00EF5A78">
        <w:rPr>
          <w:rFonts w:ascii="Arial" w:eastAsia="Malgun Gothic" w:hAnsi="Arial" w:cs="Arial"/>
          <w:lang w:eastAsia="ko-KR"/>
        </w:rPr>
        <w:t>”. In that LS</w:t>
      </w:r>
      <w:r w:rsidR="004E37EE">
        <w:rPr>
          <w:rFonts w:ascii="Arial" w:eastAsia="Malgun Gothic" w:hAnsi="Arial" w:cs="Arial"/>
          <w:lang w:eastAsia="ko-KR"/>
        </w:rPr>
        <w:t xml:space="preserve"> RAN4</w:t>
      </w:r>
      <w:r w:rsidR="00EF5A78">
        <w:rPr>
          <w:rFonts w:ascii="Arial" w:eastAsia="Malgun Gothic" w:hAnsi="Arial" w:cs="Arial"/>
          <w:lang w:eastAsia="ko-KR"/>
        </w:rPr>
        <w:t xml:space="preserve"> had some questions to</w:t>
      </w:r>
      <w:r w:rsidR="004E37EE">
        <w:rPr>
          <w:rFonts w:ascii="Arial" w:eastAsia="Malgun Gothic" w:hAnsi="Arial" w:cs="Arial"/>
          <w:lang w:eastAsia="ko-KR"/>
        </w:rPr>
        <w:t xml:space="preserve"> RAN1 on the PL-RS</w:t>
      </w:r>
      <w:r w:rsidR="00EF5A78">
        <w:rPr>
          <w:rFonts w:ascii="Arial" w:eastAsia="Malgun Gothic" w:hAnsi="Arial" w:cs="Arial"/>
          <w:lang w:eastAsia="ko-KR"/>
        </w:rPr>
        <w:t>. RAN1 discussed these questions and came to the following answers:</w:t>
      </w:r>
    </w:p>
    <w:p w14:paraId="31D4C821" w14:textId="4B0E654A" w:rsidR="00EF5A78" w:rsidRDefault="00EF5A78" w:rsidP="001D630D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</w:p>
    <w:p w14:paraId="02AE5AFC" w14:textId="17810F60" w:rsidR="004E37EE" w:rsidRDefault="004E37EE" w:rsidP="004E37EE">
      <w:pPr>
        <w:spacing w:after="120"/>
        <w:jc w:val="both"/>
        <w:rPr>
          <w:rFonts w:ascii="Arial" w:eastAsia="Times New Roman" w:hAnsi="Arial" w:cs="Arial"/>
        </w:rPr>
      </w:pPr>
      <w:r w:rsidRPr="004E37EE">
        <w:rPr>
          <w:rFonts w:ascii="Arial" w:eastAsia="Times New Roman" w:hAnsi="Arial" w:cs="Arial"/>
          <w:b/>
        </w:rPr>
        <w:t>Question 1</w:t>
      </w:r>
      <w:r w:rsidRPr="004E37EE">
        <w:rPr>
          <w:rFonts w:ascii="Arial" w:eastAsia="Times New Roman" w:hAnsi="Arial" w:cs="Arial"/>
        </w:rPr>
        <w:t xml:space="preserve">: What is the relationship between  </w:t>
      </w:r>
      <m:oMath>
        <m:sSub>
          <m:sSubPr>
            <m:ctrlPr>
              <w:rPr>
                <w:rFonts w:ascii="Cambria Math" w:eastAsia="MS Mincho" w:hAnsi="Cambria Math" w:cs="Arial"/>
                <w:i/>
              </w:rPr>
            </m:ctrlPr>
          </m:sSubPr>
          <m:e>
            <m:r>
              <w:rPr>
                <w:rFonts w:ascii="Cambria Math" w:eastAsia="MS Mincho" w:hAnsi="Cambria Math" w:cs="Arial"/>
              </w:rPr>
              <m:t>q</m:t>
            </m:r>
          </m:e>
          <m:sub>
            <m:r>
              <w:rPr>
                <w:rFonts w:ascii="Cambria Math" w:eastAsia="MS Mincho" w:hAnsi="Cambria Math" w:cs="Arial"/>
              </w:rPr>
              <m:t>d</m:t>
            </m:r>
          </m:sub>
        </m:sSub>
      </m:oMath>
      <w:r w:rsidRPr="004E37EE">
        <w:rPr>
          <w:rFonts w:ascii="Arial" w:eastAsia="Times New Roman" w:hAnsi="Arial" w:cs="Arial"/>
        </w:rPr>
        <w:t xml:space="preserve"> and active UL (or joint) TCI state list? How does network configure the </w:t>
      </w:r>
      <w:r w:rsidRPr="004E37EE">
        <w:rPr>
          <w:rFonts w:ascii="Arial" w:eastAsia="MS Mincho" w:hAnsi="Arial" w:cs="Arial"/>
        </w:rPr>
        <w:t>RS resource indexes</w:t>
      </w:r>
      <w:r w:rsidRPr="004E37EE">
        <w:rPr>
          <w:rFonts w:ascii="Arial" w:eastAsia="Times New Roman" w:hAnsi="Arial" w:cs="Arial"/>
        </w:rPr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i/>
              </w:rPr>
            </m:ctrlPr>
          </m:sSubPr>
          <m:e>
            <m:r>
              <w:rPr>
                <w:rFonts w:ascii="Cambria Math" w:eastAsia="MS Mincho" w:hAnsi="Cambria Math" w:cs="Arial"/>
              </w:rPr>
              <m:t>q</m:t>
            </m:r>
          </m:e>
          <m:sub>
            <m:r>
              <w:rPr>
                <w:rFonts w:ascii="Cambria Math" w:eastAsia="MS Mincho" w:hAnsi="Cambria Math" w:cs="Arial"/>
              </w:rPr>
              <m:t>d</m:t>
            </m:r>
          </m:sub>
        </m:sSub>
      </m:oMath>
      <w:r w:rsidRPr="004E37EE">
        <w:rPr>
          <w:rFonts w:ascii="Arial" w:eastAsia="Times New Roman" w:hAnsi="Arial" w:cs="Arial"/>
        </w:rPr>
        <w:t xml:space="preserve"> ?</w:t>
      </w:r>
    </w:p>
    <w:p w14:paraId="4D37A0A7" w14:textId="70F02FBF" w:rsidR="004E37EE" w:rsidRPr="004E37EE" w:rsidRDefault="004E37EE" w:rsidP="004E37EE">
      <w:pPr>
        <w:spacing w:after="120"/>
        <w:jc w:val="both"/>
        <w:rPr>
          <w:rFonts w:ascii="Arial" w:eastAsia="Times New Roman" w:hAnsi="Arial" w:cs="Arial"/>
        </w:rPr>
      </w:pPr>
      <w:r w:rsidRPr="00923D2C">
        <w:rPr>
          <w:rFonts w:ascii="Arial" w:eastAsia="Times New Roman" w:hAnsi="Arial" w:cs="Arial"/>
          <w:b/>
        </w:rPr>
        <w:t>RAN1 reply to question 1:</w:t>
      </w:r>
      <w:r>
        <w:rPr>
          <w:rFonts w:ascii="Arial" w:eastAsia="Times New Roman" w:hAnsi="Arial" w:cs="Arial"/>
        </w:rPr>
        <w:t xml:space="preserve"> </w:t>
      </w:r>
      <w:r w:rsidR="005A662A">
        <w:rPr>
          <w:rFonts w:ascii="Arial" w:eastAsia="Times New Roman" w:hAnsi="Arial" w:cs="Arial"/>
        </w:rPr>
        <w:t xml:space="preserve">During Rel-17, </w:t>
      </w:r>
      <w:r w:rsidR="005A662A" w:rsidRPr="005A662A">
        <w:rPr>
          <w:rFonts w:ascii="Arial" w:eastAsia="Times New Roman" w:hAnsi="Arial" w:cs="Arial"/>
        </w:rPr>
        <w:t>RAN1 discussed whether there needs to be beam alignment between q_d and the spatial relation RS of the UL or Joint TCI state, but concluded to leave this to RAN4 to decide</w:t>
      </w:r>
      <w:r w:rsidR="00923D2C">
        <w:rPr>
          <w:rFonts w:ascii="Arial" w:eastAsia="Times New Roman" w:hAnsi="Arial" w:cs="Arial"/>
        </w:rPr>
        <w:t>.</w:t>
      </w:r>
    </w:p>
    <w:p w14:paraId="75E5286C" w14:textId="38E4481B" w:rsidR="004E37EE" w:rsidRDefault="004E37EE" w:rsidP="004E37EE">
      <w:pPr>
        <w:spacing w:after="120"/>
        <w:jc w:val="both"/>
        <w:rPr>
          <w:rFonts w:ascii="Arial" w:eastAsia="Times New Roman" w:hAnsi="Arial" w:cs="Arial"/>
        </w:rPr>
      </w:pPr>
      <w:r w:rsidRPr="004E37EE">
        <w:rPr>
          <w:rFonts w:ascii="Arial" w:eastAsia="Times New Roman" w:hAnsi="Arial" w:cs="Arial"/>
          <w:b/>
        </w:rPr>
        <w:t>Question 2</w:t>
      </w:r>
      <w:r w:rsidRPr="004E37EE">
        <w:rPr>
          <w:rFonts w:ascii="Arial" w:eastAsia="Times New Roman" w:hAnsi="Arial" w:cs="Arial"/>
        </w:rPr>
        <w:t>: Is UE expected to maintain the pathloss RSs of all the pathloss reference RS in the active UL (or joint) TCI list?</w:t>
      </w:r>
    </w:p>
    <w:p w14:paraId="28AF0E53" w14:textId="32D08735" w:rsidR="004E37EE" w:rsidRPr="004E37EE" w:rsidRDefault="004E37EE" w:rsidP="004E37EE">
      <w:pPr>
        <w:spacing w:after="120"/>
        <w:jc w:val="both"/>
        <w:rPr>
          <w:rFonts w:ascii="Arial" w:eastAsia="Times New Roman" w:hAnsi="Arial" w:cs="Arial"/>
        </w:rPr>
      </w:pPr>
      <w:r w:rsidRPr="00923D2C">
        <w:rPr>
          <w:rFonts w:ascii="Arial" w:eastAsia="Times New Roman" w:hAnsi="Arial" w:cs="Arial"/>
          <w:b/>
        </w:rPr>
        <w:t>RAN1 reply to question 2</w:t>
      </w:r>
      <w:r>
        <w:rPr>
          <w:rFonts w:ascii="Arial" w:eastAsia="Times New Roman" w:hAnsi="Arial" w:cs="Arial"/>
        </w:rPr>
        <w:t>:</w:t>
      </w:r>
      <w:r w:rsidR="00923D2C">
        <w:rPr>
          <w:rFonts w:ascii="Arial" w:eastAsia="Times New Roman" w:hAnsi="Arial" w:cs="Arial"/>
        </w:rPr>
        <w:t xml:space="preserve"> Yes, the UE is expected to </w:t>
      </w:r>
      <w:r w:rsidR="00923D2C" w:rsidRPr="004E37EE">
        <w:rPr>
          <w:rFonts w:ascii="Arial" w:eastAsia="Times New Roman" w:hAnsi="Arial" w:cs="Arial"/>
        </w:rPr>
        <w:t>maintain the pathloss RSs of all the pathloss reference RS in the active</w:t>
      </w:r>
      <w:r w:rsidR="00923D2C">
        <w:rPr>
          <w:rFonts w:ascii="Arial" w:eastAsia="Times New Roman" w:hAnsi="Arial" w:cs="Arial"/>
        </w:rPr>
        <w:t xml:space="preserve"> UL or joint</w:t>
      </w:r>
      <w:r w:rsidR="00923D2C" w:rsidRPr="004E37EE">
        <w:rPr>
          <w:rFonts w:ascii="Arial" w:eastAsia="Times New Roman" w:hAnsi="Arial" w:cs="Arial"/>
        </w:rPr>
        <w:t xml:space="preserve"> TCI list</w:t>
      </w:r>
      <w:r w:rsidR="00923D2C">
        <w:rPr>
          <w:rFonts w:ascii="Arial" w:eastAsia="Times New Roman" w:hAnsi="Arial" w:cs="Arial"/>
        </w:rPr>
        <w:t>.</w:t>
      </w:r>
    </w:p>
    <w:p w14:paraId="734C9DE3" w14:textId="77777777" w:rsidR="004E37EE" w:rsidRPr="004E37EE" w:rsidRDefault="004E37EE" w:rsidP="004E37EE">
      <w:pPr>
        <w:spacing w:after="120"/>
        <w:jc w:val="both"/>
        <w:rPr>
          <w:rFonts w:ascii="Arial" w:eastAsia="Times New Roman" w:hAnsi="Arial" w:cs="Arial"/>
        </w:rPr>
      </w:pPr>
      <w:r w:rsidRPr="004E37EE">
        <w:rPr>
          <w:rFonts w:ascii="Arial" w:eastAsia="Times New Roman" w:hAnsi="Arial" w:cs="Arial"/>
          <w:b/>
        </w:rPr>
        <w:t>Question 3</w:t>
      </w:r>
      <w:r w:rsidRPr="004E37EE">
        <w:rPr>
          <w:rFonts w:ascii="Arial" w:eastAsia="Times New Roman" w:hAnsi="Arial" w:cs="Arial"/>
        </w:rPr>
        <w:t>: What is the UE behavior when number of active UL (or joint) TCI states is larger than 4 if corresponding pathloss RSs need to be maintained?</w:t>
      </w:r>
    </w:p>
    <w:p w14:paraId="75FC1429" w14:textId="686411D2" w:rsidR="00EF5A78" w:rsidRDefault="004E37EE" w:rsidP="001D630D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923D2C">
        <w:rPr>
          <w:rFonts w:ascii="Arial" w:eastAsia="Malgun Gothic" w:hAnsi="Arial" w:cs="Arial"/>
          <w:b/>
          <w:lang w:eastAsia="ko-KR"/>
        </w:rPr>
        <w:t>RAN1 reply to question 3</w:t>
      </w:r>
      <w:r>
        <w:rPr>
          <w:rFonts w:ascii="Arial" w:eastAsia="Malgun Gothic" w:hAnsi="Arial" w:cs="Arial"/>
          <w:lang w:eastAsia="ko-KR"/>
        </w:rPr>
        <w:t>:</w:t>
      </w:r>
      <w:r w:rsidR="00923D2C">
        <w:rPr>
          <w:rFonts w:ascii="Arial" w:eastAsia="Malgun Gothic" w:hAnsi="Arial" w:cs="Arial"/>
          <w:lang w:eastAsia="ko-KR"/>
        </w:rPr>
        <w:t xml:space="preserve"> </w:t>
      </w:r>
      <w:r w:rsidR="00923D2C" w:rsidRPr="00923D2C">
        <w:rPr>
          <w:rFonts w:ascii="Arial" w:eastAsia="Malgun Gothic" w:hAnsi="Arial" w:cs="Arial"/>
          <w:lang w:eastAsia="ko-KR"/>
        </w:rPr>
        <w:t>The UE should not be configured to maintain more than 4 PL-RS. The same PL-RS can be used in more than one UL or Joint TCI states.</w:t>
      </w:r>
    </w:p>
    <w:p w14:paraId="5700103F" w14:textId="77777777" w:rsidR="004E37EE" w:rsidRDefault="004E37EE" w:rsidP="001D630D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</w:p>
    <w:p w14:paraId="1FD919C0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66BDAFF1" w14:textId="77777777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987F5E">
        <w:rPr>
          <w:rFonts w:ascii="Arial" w:hAnsi="Arial" w:cs="Arial"/>
          <w:b/>
        </w:rPr>
        <w:t>2</w:t>
      </w:r>
    </w:p>
    <w:p w14:paraId="16139E8C" w14:textId="7F8AF5C4" w:rsidR="00463675" w:rsidRPr="00B310FC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4E37EE">
        <w:rPr>
          <w:rFonts w:ascii="Arial" w:hAnsi="Arial" w:cs="Arial"/>
        </w:rPr>
        <w:t>4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09B62D37" w14:textId="77777777" w:rsidR="00463675" w:rsidRPr="00B310FC" w:rsidRDefault="00463675">
      <w:pPr>
        <w:spacing w:after="120"/>
        <w:ind w:left="993" w:hanging="993"/>
        <w:rPr>
          <w:rFonts w:ascii="Arial" w:hAnsi="Arial" w:cs="Arial"/>
        </w:rPr>
      </w:pPr>
    </w:p>
    <w:p w14:paraId="2CF14DFB" w14:textId="77777777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5878D499" w14:textId="34D9BC6C" w:rsidR="009943DC" w:rsidRDefault="009943DC" w:rsidP="009943DC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</w:t>
      </w:r>
      <w:r w:rsidR="00062E26">
        <w:rPr>
          <w:rFonts w:ascii="Arial" w:hAnsi="Arial" w:cs="Arial"/>
          <w:bCs/>
        </w:rPr>
        <w:t>11</w:t>
      </w:r>
      <w:r w:rsidR="00062E26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062E26">
        <w:rPr>
          <w:rFonts w:ascii="Arial" w:hAnsi="Arial" w:cs="Arial"/>
          <w:bCs/>
        </w:rPr>
        <w:t>4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062E26">
        <w:rPr>
          <w:rFonts w:ascii="Arial" w:hAnsi="Arial" w:cs="Arial"/>
          <w:bCs/>
        </w:rPr>
        <w:t>8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B310FC">
        <w:rPr>
          <w:rFonts w:ascii="Arial" w:hAnsi="Arial" w:cs="Arial"/>
          <w:bCs/>
        </w:rPr>
        <w:t xml:space="preserve"> 202</w:t>
      </w:r>
      <w:r w:rsidR="00062E26">
        <w:rPr>
          <w:rFonts w:ascii="Arial" w:hAnsi="Arial" w:cs="Arial"/>
          <w:bCs/>
        </w:rPr>
        <w:t>2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="004E37EE">
        <w:rPr>
          <w:rFonts w:ascii="Arial" w:hAnsi="Arial" w:cs="Arial"/>
          <w:bCs/>
        </w:rPr>
        <w:t>Toulouse, France</w:t>
      </w:r>
    </w:p>
    <w:p w14:paraId="4708C7B2" w14:textId="259063A7" w:rsidR="004E37EE" w:rsidRDefault="004E37EE" w:rsidP="004E37EE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#112</w:t>
      </w:r>
      <w:r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27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Pr="00B310FC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  <w:vertAlign w:val="superscript"/>
        </w:rPr>
        <w:t>rd</w:t>
      </w:r>
      <w:r w:rsidRPr="00B310FC">
        <w:rPr>
          <w:rFonts w:ascii="Arial" w:hAnsi="Arial" w:cs="Arial"/>
          <w:bCs/>
        </w:rPr>
        <w:t xml:space="preserve"> </w:t>
      </w:r>
      <w:r w:rsidR="005A662A">
        <w:rPr>
          <w:rFonts w:ascii="Arial" w:hAnsi="Arial" w:cs="Arial"/>
          <w:bCs/>
        </w:rPr>
        <w:t>March</w:t>
      </w:r>
      <w:r w:rsidRPr="00B310FC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201E5753" w14:textId="77777777" w:rsidR="004E37EE" w:rsidRDefault="004E37EE" w:rsidP="009943DC">
      <w:pPr>
        <w:spacing w:after="120"/>
        <w:ind w:left="2268" w:hanging="2268"/>
        <w:rPr>
          <w:rFonts w:ascii="Arial" w:hAnsi="Arial" w:cs="Arial"/>
          <w:bCs/>
        </w:rPr>
      </w:pPr>
    </w:p>
    <w:p w14:paraId="2E80D16B" w14:textId="77777777" w:rsidR="0051699E" w:rsidRPr="009943DC" w:rsidRDefault="0051699E" w:rsidP="009943DC">
      <w:pPr>
        <w:pStyle w:val="2222"/>
        <w:spacing w:after="120" w:line="288" w:lineRule="auto"/>
        <w:ind w:firstLineChars="0" w:firstLine="0"/>
        <w:rPr>
          <w:rFonts w:ascii="Arial" w:hAnsi="Arial" w:cs="Arial"/>
          <w:sz w:val="20"/>
          <w:lang w:eastAsia="ko-KR"/>
        </w:rPr>
      </w:pPr>
    </w:p>
    <w:sectPr w:rsidR="0051699E" w:rsidRPr="009943D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6C43F" w14:textId="77777777" w:rsidR="003B2B60" w:rsidRDefault="003B2B60">
      <w:r>
        <w:separator/>
      </w:r>
    </w:p>
  </w:endnote>
  <w:endnote w:type="continuationSeparator" w:id="0">
    <w:p w14:paraId="39579255" w14:textId="77777777" w:rsidR="003B2B60" w:rsidRDefault="003B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C58FC" w14:textId="77777777" w:rsidR="003B2B60" w:rsidRDefault="003B2B60">
      <w:r>
        <w:separator/>
      </w:r>
    </w:p>
  </w:footnote>
  <w:footnote w:type="continuationSeparator" w:id="0">
    <w:p w14:paraId="37CC7095" w14:textId="77777777" w:rsidR="003B2B60" w:rsidRDefault="003B2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5"/>
  </w:num>
  <w:num w:numId="23">
    <w:abstractNumId w:val="13"/>
  </w:num>
  <w:num w:numId="24">
    <w:abstractNumId w:val="15"/>
  </w:num>
  <w:num w:numId="25">
    <w:abstractNumId w:val="19"/>
  </w:num>
  <w:num w:numId="26">
    <w:abstractNumId w:val="28"/>
  </w:num>
  <w:num w:numId="27">
    <w:abstractNumId w:val="17"/>
  </w:num>
  <w:num w:numId="28">
    <w:abstractNumId w:val="16"/>
  </w:num>
  <w:num w:numId="29">
    <w:abstractNumId w:val="14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526"/>
    <w:rsid w:val="00031200"/>
    <w:rsid w:val="00034C4B"/>
    <w:rsid w:val="000413DB"/>
    <w:rsid w:val="0005503C"/>
    <w:rsid w:val="00062E26"/>
    <w:rsid w:val="00063133"/>
    <w:rsid w:val="00070B59"/>
    <w:rsid w:val="00074FC2"/>
    <w:rsid w:val="000A31B9"/>
    <w:rsid w:val="000A5C53"/>
    <w:rsid w:val="000B693C"/>
    <w:rsid w:val="000D430A"/>
    <w:rsid w:val="000D5FAC"/>
    <w:rsid w:val="000F1408"/>
    <w:rsid w:val="000F4E43"/>
    <w:rsid w:val="00103873"/>
    <w:rsid w:val="001310C6"/>
    <w:rsid w:val="001526D0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20703"/>
    <w:rsid w:val="002331F4"/>
    <w:rsid w:val="00251C1D"/>
    <w:rsid w:val="00255936"/>
    <w:rsid w:val="00265289"/>
    <w:rsid w:val="00282988"/>
    <w:rsid w:val="002A4B1E"/>
    <w:rsid w:val="002D3DEC"/>
    <w:rsid w:val="00310045"/>
    <w:rsid w:val="00330F53"/>
    <w:rsid w:val="00341D78"/>
    <w:rsid w:val="00351F8A"/>
    <w:rsid w:val="00383488"/>
    <w:rsid w:val="003A6CC9"/>
    <w:rsid w:val="003B2B60"/>
    <w:rsid w:val="003C2BA0"/>
    <w:rsid w:val="003C7C9D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B6F7F"/>
    <w:rsid w:val="004D2DF9"/>
    <w:rsid w:val="004E19F4"/>
    <w:rsid w:val="004E37EE"/>
    <w:rsid w:val="004E4EE3"/>
    <w:rsid w:val="004F65EB"/>
    <w:rsid w:val="0051699E"/>
    <w:rsid w:val="0057771C"/>
    <w:rsid w:val="00581330"/>
    <w:rsid w:val="00584B08"/>
    <w:rsid w:val="00590617"/>
    <w:rsid w:val="005A662A"/>
    <w:rsid w:val="005B21FE"/>
    <w:rsid w:val="005B2FFD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92D7C"/>
    <w:rsid w:val="00697555"/>
    <w:rsid w:val="006A085E"/>
    <w:rsid w:val="006A643B"/>
    <w:rsid w:val="006C5C36"/>
    <w:rsid w:val="006C5DE8"/>
    <w:rsid w:val="006C69D6"/>
    <w:rsid w:val="006D0543"/>
    <w:rsid w:val="006E2BD2"/>
    <w:rsid w:val="00726FC3"/>
    <w:rsid w:val="00765460"/>
    <w:rsid w:val="00780EA3"/>
    <w:rsid w:val="0079236E"/>
    <w:rsid w:val="007A062E"/>
    <w:rsid w:val="007A2A2D"/>
    <w:rsid w:val="007A7FCF"/>
    <w:rsid w:val="007C7E24"/>
    <w:rsid w:val="007F58E8"/>
    <w:rsid w:val="007F6B61"/>
    <w:rsid w:val="00802948"/>
    <w:rsid w:val="008049BF"/>
    <w:rsid w:val="0080550F"/>
    <w:rsid w:val="00805DA9"/>
    <w:rsid w:val="008230DF"/>
    <w:rsid w:val="00841D20"/>
    <w:rsid w:val="00854BC9"/>
    <w:rsid w:val="008566B1"/>
    <w:rsid w:val="00874569"/>
    <w:rsid w:val="008871B5"/>
    <w:rsid w:val="008B2D94"/>
    <w:rsid w:val="008D37E5"/>
    <w:rsid w:val="008E0F68"/>
    <w:rsid w:val="008E48CD"/>
    <w:rsid w:val="008F0781"/>
    <w:rsid w:val="00916CC0"/>
    <w:rsid w:val="00923D2C"/>
    <w:rsid w:val="00923E7C"/>
    <w:rsid w:val="009263DF"/>
    <w:rsid w:val="0093447D"/>
    <w:rsid w:val="00937C01"/>
    <w:rsid w:val="00961CC0"/>
    <w:rsid w:val="00963A76"/>
    <w:rsid w:val="009740A8"/>
    <w:rsid w:val="00981BF2"/>
    <w:rsid w:val="00987F5E"/>
    <w:rsid w:val="009943DC"/>
    <w:rsid w:val="009962B7"/>
    <w:rsid w:val="00A26BBF"/>
    <w:rsid w:val="00A34F72"/>
    <w:rsid w:val="00A4142F"/>
    <w:rsid w:val="00A56018"/>
    <w:rsid w:val="00A72E29"/>
    <w:rsid w:val="00A8195A"/>
    <w:rsid w:val="00A97912"/>
    <w:rsid w:val="00AA1037"/>
    <w:rsid w:val="00B133CF"/>
    <w:rsid w:val="00B310FC"/>
    <w:rsid w:val="00B613C9"/>
    <w:rsid w:val="00B64BC2"/>
    <w:rsid w:val="00B94E68"/>
    <w:rsid w:val="00B97CD6"/>
    <w:rsid w:val="00BA286E"/>
    <w:rsid w:val="00BA6F19"/>
    <w:rsid w:val="00BE4E26"/>
    <w:rsid w:val="00BF1682"/>
    <w:rsid w:val="00C00027"/>
    <w:rsid w:val="00C174F7"/>
    <w:rsid w:val="00C5498E"/>
    <w:rsid w:val="00CA09FC"/>
    <w:rsid w:val="00CB5D1B"/>
    <w:rsid w:val="00CC1212"/>
    <w:rsid w:val="00CD639C"/>
    <w:rsid w:val="00CF0BDF"/>
    <w:rsid w:val="00D14DCF"/>
    <w:rsid w:val="00D25ACF"/>
    <w:rsid w:val="00D25F65"/>
    <w:rsid w:val="00D3014F"/>
    <w:rsid w:val="00D851E9"/>
    <w:rsid w:val="00D86FA3"/>
    <w:rsid w:val="00DB247F"/>
    <w:rsid w:val="00DD61CC"/>
    <w:rsid w:val="00E10A4A"/>
    <w:rsid w:val="00E15A52"/>
    <w:rsid w:val="00E27C41"/>
    <w:rsid w:val="00E345EB"/>
    <w:rsid w:val="00E657C5"/>
    <w:rsid w:val="00E8353F"/>
    <w:rsid w:val="00ED5495"/>
    <w:rsid w:val="00EE33DB"/>
    <w:rsid w:val="00EF5A78"/>
    <w:rsid w:val="00F05C5F"/>
    <w:rsid w:val="00F14901"/>
    <w:rsid w:val="00FB3477"/>
    <w:rsid w:val="00FC12B7"/>
    <w:rsid w:val="00FC7F9D"/>
    <w:rsid w:val="00FD230B"/>
    <w:rsid w:val="00FD6811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CD78A2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Batang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List2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Normal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C5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5C5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Emad</cp:lastModifiedBy>
  <cp:revision>21</cp:revision>
  <cp:lastPrinted>2002-04-23T14:10:00Z</cp:lastPrinted>
  <dcterms:created xsi:type="dcterms:W3CDTF">2021-01-18T00:57:00Z</dcterms:created>
  <dcterms:modified xsi:type="dcterms:W3CDTF">2022-09-30T01:35:00Z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